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7F" w:rsidRDefault="00DA207F" w:rsidP="00DF7C6F">
      <w:pPr>
        <w:jc w:val="center"/>
        <w:rPr>
          <w:rFonts w:ascii="Tw Cen MT" w:hAnsi="Tw Cen MT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81150" cy="63817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7F" w:rsidRPr="00671D27" w:rsidRDefault="00236D7F" w:rsidP="00671D27">
      <w:pPr>
        <w:jc w:val="center"/>
        <w:rPr>
          <w:rFonts w:cs="Calibri"/>
          <w:b/>
        </w:rPr>
      </w:pPr>
      <w:r w:rsidRPr="00671D27">
        <w:rPr>
          <w:rFonts w:cs="Calibri"/>
          <w:b/>
        </w:rPr>
        <w:t>NCL Medication Adherence Campaign</w:t>
      </w:r>
      <w:r>
        <w:rPr>
          <w:rFonts w:cs="Calibri"/>
          <w:b/>
        </w:rPr>
        <w:t xml:space="preserve">                                                                                                                       </w:t>
      </w:r>
      <w:r w:rsidRPr="00671D27">
        <w:rPr>
          <w:rFonts w:cs="Calibri"/>
          <w:b/>
        </w:rPr>
        <w:t>Target Market Selection Process</w:t>
      </w:r>
    </w:p>
    <w:p w:rsidR="00236D7F" w:rsidRPr="00671D27" w:rsidRDefault="00236D7F" w:rsidP="00B17A7C">
      <w:pPr>
        <w:jc w:val="center"/>
        <w:rPr>
          <w:rFonts w:cs="Calibri"/>
          <w:b/>
        </w:rPr>
      </w:pPr>
    </w:p>
    <w:p w:rsidR="00236D7F" w:rsidRPr="00671D27" w:rsidRDefault="00236D7F">
      <w:pPr>
        <w:rPr>
          <w:rFonts w:cs="Calibri"/>
        </w:rPr>
      </w:pPr>
      <w:r w:rsidRPr="00671D27">
        <w:rPr>
          <w:rFonts w:cs="Calibri"/>
        </w:rPr>
        <w:t>As part of the National Consumers League</w:t>
      </w:r>
      <w:r w:rsidR="00380BBD">
        <w:rPr>
          <w:rFonts w:cs="Calibri"/>
        </w:rPr>
        <w:t>’s</w:t>
      </w:r>
      <w:r w:rsidRPr="00671D27">
        <w:rPr>
          <w:rFonts w:cs="Calibri"/>
        </w:rPr>
        <w:t xml:space="preserve"> campaign to raise awareness about the importance of medication adherence, six </w:t>
      </w:r>
      <w:r w:rsidR="00713E19">
        <w:rPr>
          <w:rFonts w:cs="Calibri"/>
        </w:rPr>
        <w:t xml:space="preserve">initial </w:t>
      </w:r>
      <w:r w:rsidRPr="00671D27">
        <w:rPr>
          <w:rFonts w:cs="Calibri"/>
        </w:rPr>
        <w:t>target market cities were c</w:t>
      </w:r>
      <w:bookmarkStart w:id="0" w:name="_GoBack"/>
      <w:bookmarkEnd w:id="0"/>
      <w:r w:rsidRPr="00671D27">
        <w:rPr>
          <w:rFonts w:cs="Calibri"/>
        </w:rPr>
        <w:t xml:space="preserve">hosen to focus efforts and coordinate outreach with local chapters of Committed Partners. </w:t>
      </w:r>
    </w:p>
    <w:p w:rsidR="00236D7F" w:rsidRPr="00671D27" w:rsidRDefault="00236D7F">
      <w:pPr>
        <w:rPr>
          <w:rFonts w:cs="Calibri"/>
        </w:rPr>
      </w:pPr>
      <w:r w:rsidRPr="00671D27">
        <w:rPr>
          <w:rFonts w:cs="Calibri"/>
        </w:rPr>
        <w:t>The target markets were chosen using criteria that were established during the July 2010 Stakeholders meeting, including:</w:t>
      </w:r>
    </w:p>
    <w:p w:rsidR="00236D7F" w:rsidRPr="00671D27" w:rsidRDefault="00236D7F" w:rsidP="00C57C98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671D27">
        <w:rPr>
          <w:rFonts w:cs="Calibri"/>
          <w:b/>
        </w:rPr>
        <w:t>Media market size</w:t>
      </w:r>
      <w:r w:rsidRPr="00671D27">
        <w:rPr>
          <w:rFonts w:cs="Calibri"/>
        </w:rPr>
        <w:t xml:space="preserve"> – beginning with the top 100 </w:t>
      </w:r>
      <w:r>
        <w:rPr>
          <w:rFonts w:cs="Calibri"/>
        </w:rPr>
        <w:t xml:space="preserve">mid-sized </w:t>
      </w:r>
      <w:r w:rsidRPr="00671D27">
        <w:rPr>
          <w:rFonts w:cs="Calibri"/>
        </w:rPr>
        <w:t>media markets, this list was narrowed down to cities in states that had a high prevalence of the three focus chronic conditions: diabetes</w:t>
      </w:r>
      <w:r>
        <w:rPr>
          <w:rFonts w:cs="Calibri"/>
        </w:rPr>
        <w:t>;</w:t>
      </w:r>
      <w:r w:rsidRPr="00671D27">
        <w:rPr>
          <w:rFonts w:cs="Calibri"/>
        </w:rPr>
        <w:t xml:space="preserve"> </w:t>
      </w:r>
      <w:r>
        <w:rPr>
          <w:rFonts w:cs="Calibri"/>
        </w:rPr>
        <w:t xml:space="preserve">respiratory diseases including </w:t>
      </w:r>
      <w:r w:rsidRPr="00671D27">
        <w:rPr>
          <w:rFonts w:cs="Calibri"/>
        </w:rPr>
        <w:t>asthma</w:t>
      </w:r>
      <w:r>
        <w:rPr>
          <w:rFonts w:cs="Calibri"/>
        </w:rPr>
        <w:t>;</w:t>
      </w:r>
      <w:r w:rsidRPr="00671D27">
        <w:rPr>
          <w:rFonts w:cs="Calibri"/>
        </w:rPr>
        <w:t xml:space="preserve"> and </w:t>
      </w:r>
      <w:r>
        <w:rPr>
          <w:rFonts w:cs="Calibri"/>
        </w:rPr>
        <w:t xml:space="preserve">cardiovascular </w:t>
      </w:r>
      <w:r w:rsidRPr="00671D27">
        <w:rPr>
          <w:rFonts w:cs="Calibri"/>
        </w:rPr>
        <w:t xml:space="preserve">disease </w:t>
      </w:r>
    </w:p>
    <w:p w:rsidR="00236D7F" w:rsidRPr="00671D27" w:rsidRDefault="00236D7F" w:rsidP="003B037B">
      <w:pPr>
        <w:pStyle w:val="ListParagraph"/>
        <w:spacing w:after="0"/>
        <w:rPr>
          <w:rFonts w:cs="Calibri"/>
        </w:rPr>
      </w:pPr>
    </w:p>
    <w:p w:rsidR="00236D7F" w:rsidRPr="00671D27" w:rsidRDefault="00236D7F" w:rsidP="002B0AE4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671D27">
        <w:rPr>
          <w:rFonts w:cs="Calibri"/>
          <w:b/>
        </w:rPr>
        <w:t>Local presence of partner organizations and/or other complementary efforts or organizations related to medication adherence</w:t>
      </w:r>
      <w:r w:rsidRPr="00671D27">
        <w:rPr>
          <w:rFonts w:cs="Calibri"/>
        </w:rPr>
        <w:t xml:space="preserve"> – using the list of </w:t>
      </w:r>
      <w:r>
        <w:rPr>
          <w:rFonts w:cs="Calibri"/>
        </w:rPr>
        <w:t>mid-</w:t>
      </w:r>
      <w:r w:rsidRPr="00671D27">
        <w:rPr>
          <w:rFonts w:cs="Calibri"/>
        </w:rPr>
        <w:t xml:space="preserve">sized markets, </w:t>
      </w:r>
      <w:r>
        <w:rPr>
          <w:rFonts w:cs="Calibri"/>
        </w:rPr>
        <w:t xml:space="preserve">we </w:t>
      </w:r>
      <w:r w:rsidRPr="00671D27">
        <w:rPr>
          <w:rFonts w:cs="Calibri"/>
        </w:rPr>
        <w:t xml:space="preserve">then did an overlay of local partner organizations and related activities </w:t>
      </w:r>
      <w:r>
        <w:rPr>
          <w:rFonts w:cs="Calibri"/>
        </w:rPr>
        <w:t>that</w:t>
      </w:r>
      <w:r w:rsidRPr="00671D27">
        <w:rPr>
          <w:rFonts w:cs="Calibri"/>
        </w:rPr>
        <w:t xml:space="preserve"> other </w:t>
      </w:r>
      <w:r>
        <w:rPr>
          <w:rFonts w:cs="Calibri"/>
        </w:rPr>
        <w:t xml:space="preserve">campaign </w:t>
      </w:r>
      <w:r w:rsidRPr="00671D27">
        <w:rPr>
          <w:rFonts w:cs="Calibri"/>
        </w:rPr>
        <w:t>stakeholders were organizing in these cities</w:t>
      </w:r>
      <w:r w:rsidR="00DF7C6F">
        <w:rPr>
          <w:rFonts w:cs="Calibri"/>
        </w:rPr>
        <w:t xml:space="preserve">.  This included pharmacy and medical academic institutions. </w:t>
      </w:r>
    </w:p>
    <w:p w:rsidR="00236D7F" w:rsidRPr="00671D27" w:rsidRDefault="00236D7F" w:rsidP="003B037B">
      <w:pPr>
        <w:spacing w:after="0"/>
        <w:rPr>
          <w:rFonts w:cs="Calibri"/>
        </w:rPr>
      </w:pPr>
    </w:p>
    <w:p w:rsidR="00236D7F" w:rsidRPr="00671D27" w:rsidRDefault="00236D7F" w:rsidP="00C57C98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671D27">
        <w:rPr>
          <w:rFonts w:cs="Calibri"/>
          <w:b/>
        </w:rPr>
        <w:t>Local prevalence of target chronic diseases</w:t>
      </w:r>
      <w:r w:rsidRPr="00671D27">
        <w:rPr>
          <w:rFonts w:cs="Calibri"/>
        </w:rPr>
        <w:t xml:space="preserve"> – using the most recent data from the Centers for Disease Control and Prevention (CDC) on the prevalence of the three focus chronic conditions, the list was </w:t>
      </w:r>
      <w:r>
        <w:rPr>
          <w:rFonts w:cs="Calibri"/>
        </w:rPr>
        <w:t xml:space="preserve">further </w:t>
      </w:r>
      <w:r w:rsidRPr="00671D27">
        <w:rPr>
          <w:rFonts w:cs="Calibri"/>
        </w:rPr>
        <w:t>narrowe</w:t>
      </w:r>
      <w:r>
        <w:rPr>
          <w:rFonts w:cs="Calibri"/>
        </w:rPr>
        <w:t>d</w:t>
      </w:r>
      <w:r w:rsidRPr="00671D27">
        <w:rPr>
          <w:rFonts w:cs="Calibri"/>
        </w:rPr>
        <w:t xml:space="preserve"> to cities in states that </w:t>
      </w:r>
      <w:r>
        <w:rPr>
          <w:rFonts w:cs="Calibri"/>
        </w:rPr>
        <w:t>ranked</w:t>
      </w:r>
      <w:r w:rsidRPr="00671D27">
        <w:rPr>
          <w:rFonts w:cs="Calibri"/>
        </w:rPr>
        <w:t xml:space="preserve"> in the top 20 for all three conditions</w:t>
      </w:r>
    </w:p>
    <w:p w:rsidR="00236D7F" w:rsidRPr="00671D27" w:rsidRDefault="00236D7F" w:rsidP="003B037B">
      <w:pPr>
        <w:spacing w:after="0"/>
        <w:rPr>
          <w:rFonts w:cs="Calibri"/>
        </w:rPr>
      </w:pPr>
    </w:p>
    <w:p w:rsidR="00236D7F" w:rsidRPr="00671D27" w:rsidRDefault="00236D7F" w:rsidP="00C57C98">
      <w:pPr>
        <w:pStyle w:val="ListParagraph"/>
        <w:numPr>
          <w:ilvl w:val="0"/>
          <w:numId w:val="1"/>
        </w:numPr>
        <w:spacing w:after="0"/>
        <w:rPr>
          <w:rFonts w:cs="Calibri"/>
        </w:rPr>
      </w:pPr>
      <w:r w:rsidRPr="00671D27">
        <w:rPr>
          <w:rFonts w:cs="Calibri"/>
          <w:b/>
        </w:rPr>
        <w:t>Geographic and demographic diversity</w:t>
      </w:r>
      <w:r w:rsidRPr="00671D27">
        <w:rPr>
          <w:rFonts w:cs="Calibri"/>
        </w:rPr>
        <w:t xml:space="preserve"> – in order to include cities that were diverse both in location and population, the list was expanded to include cities in states that were in the top 20 for </w:t>
      </w:r>
      <w:r w:rsidRPr="006E298E">
        <w:rPr>
          <w:rFonts w:cs="Calibri"/>
        </w:rPr>
        <w:t>at least</w:t>
      </w:r>
      <w:r>
        <w:rPr>
          <w:rFonts w:cs="Calibri"/>
        </w:rPr>
        <w:t xml:space="preserve"> </w:t>
      </w:r>
      <w:r w:rsidR="009D5CCA" w:rsidRPr="00DF7C6F">
        <w:rPr>
          <w:rFonts w:cs="Calibri"/>
          <w:u w:val="single"/>
        </w:rPr>
        <w:t>two</w:t>
      </w:r>
      <w:r w:rsidRPr="00671D27">
        <w:rPr>
          <w:rFonts w:cs="Calibri"/>
        </w:rPr>
        <w:t xml:space="preserve"> of the focus chronic conditions as well as other cities not on the current list where stakeholders were organizing significant activities</w:t>
      </w:r>
    </w:p>
    <w:p w:rsidR="00236D7F" w:rsidRDefault="00236D7F" w:rsidP="003B037B">
      <w:pPr>
        <w:spacing w:after="0"/>
        <w:rPr>
          <w:rFonts w:cs="Calibri"/>
        </w:rPr>
      </w:pPr>
    </w:p>
    <w:p w:rsidR="00236D7F" w:rsidRPr="00671D27" w:rsidRDefault="00236D7F" w:rsidP="003B037B">
      <w:pPr>
        <w:spacing w:after="0"/>
        <w:rPr>
          <w:rFonts w:cs="Calibri"/>
        </w:rPr>
      </w:pPr>
      <w:r w:rsidRPr="00671D27">
        <w:rPr>
          <w:rFonts w:cs="Calibri"/>
        </w:rPr>
        <w:t>Based on these criteria, input from the campaign’s partners, an</w:t>
      </w:r>
      <w:r w:rsidR="00DF7C6F">
        <w:rPr>
          <w:rFonts w:cs="Calibri"/>
        </w:rPr>
        <w:t xml:space="preserve">d the subsequent analysis of </w:t>
      </w:r>
      <w:r w:rsidRPr="00671D27">
        <w:rPr>
          <w:rFonts w:cs="Calibri"/>
        </w:rPr>
        <w:t>information gathered, NCL has selected the following target market cities:</w:t>
      </w:r>
    </w:p>
    <w:p w:rsidR="00236D7F" w:rsidRPr="00671D27" w:rsidRDefault="00236D7F" w:rsidP="003B037B">
      <w:pPr>
        <w:spacing w:after="0"/>
        <w:ind w:left="360" w:hanging="360"/>
        <w:rPr>
          <w:rFonts w:cs="Calibri"/>
        </w:rPr>
      </w:pPr>
    </w:p>
    <w:p w:rsidR="00236D7F" w:rsidRPr="00671D27" w:rsidRDefault="00236D7F" w:rsidP="003B037B">
      <w:pPr>
        <w:spacing w:after="0"/>
        <w:ind w:left="360" w:hanging="360"/>
        <w:rPr>
          <w:rFonts w:cs="Calibri"/>
        </w:rPr>
      </w:pPr>
      <w:r w:rsidRPr="00671D27">
        <w:rPr>
          <w:rFonts w:cs="Calibri"/>
        </w:rPr>
        <w:t>1.</w:t>
      </w:r>
      <w:r w:rsidRPr="00671D27">
        <w:rPr>
          <w:rFonts w:cs="Calibri"/>
        </w:rPr>
        <w:tab/>
        <w:t>Baltimore, MD</w:t>
      </w:r>
    </w:p>
    <w:p w:rsidR="00236D7F" w:rsidRPr="00671D27" w:rsidRDefault="00236D7F" w:rsidP="003B037B">
      <w:pPr>
        <w:spacing w:after="0"/>
        <w:ind w:left="360" w:hanging="360"/>
        <w:rPr>
          <w:rFonts w:cs="Calibri"/>
        </w:rPr>
      </w:pPr>
      <w:r w:rsidRPr="00671D27">
        <w:rPr>
          <w:rFonts w:cs="Calibri"/>
        </w:rPr>
        <w:t>2.</w:t>
      </w:r>
      <w:r w:rsidRPr="00671D27">
        <w:rPr>
          <w:rFonts w:cs="Calibri"/>
        </w:rPr>
        <w:tab/>
        <w:t>Providence, RI</w:t>
      </w:r>
    </w:p>
    <w:p w:rsidR="00236D7F" w:rsidRPr="00671D27" w:rsidRDefault="00236D7F" w:rsidP="003B037B">
      <w:pPr>
        <w:spacing w:after="0"/>
        <w:ind w:left="360" w:hanging="360"/>
        <w:rPr>
          <w:rFonts w:cs="Calibri"/>
        </w:rPr>
      </w:pPr>
      <w:r w:rsidRPr="00671D27">
        <w:rPr>
          <w:rFonts w:cs="Calibri"/>
        </w:rPr>
        <w:t>3.</w:t>
      </w:r>
      <w:r w:rsidRPr="00671D27">
        <w:rPr>
          <w:rFonts w:cs="Calibri"/>
        </w:rPr>
        <w:tab/>
        <w:t>Raleigh, NC</w:t>
      </w:r>
    </w:p>
    <w:p w:rsidR="00236D7F" w:rsidRPr="00671D27" w:rsidRDefault="00236D7F" w:rsidP="003B037B">
      <w:pPr>
        <w:spacing w:after="0"/>
        <w:ind w:left="360" w:hanging="360"/>
        <w:rPr>
          <w:rFonts w:cs="Calibri"/>
        </w:rPr>
      </w:pPr>
      <w:r w:rsidRPr="00671D27">
        <w:rPr>
          <w:rFonts w:cs="Calibri"/>
        </w:rPr>
        <w:t>4.</w:t>
      </w:r>
      <w:r w:rsidRPr="00671D27">
        <w:rPr>
          <w:rFonts w:cs="Calibri"/>
        </w:rPr>
        <w:tab/>
        <w:t>Birmingham, AL</w:t>
      </w:r>
    </w:p>
    <w:p w:rsidR="00236D7F" w:rsidRPr="00671D27" w:rsidRDefault="00236D7F" w:rsidP="003B037B">
      <w:pPr>
        <w:spacing w:after="0"/>
        <w:ind w:left="360" w:hanging="360"/>
        <w:rPr>
          <w:rFonts w:cs="Calibri"/>
        </w:rPr>
      </w:pPr>
      <w:r w:rsidRPr="00671D27">
        <w:rPr>
          <w:rFonts w:cs="Calibri"/>
        </w:rPr>
        <w:t>5.</w:t>
      </w:r>
      <w:r w:rsidRPr="00671D27">
        <w:rPr>
          <w:rFonts w:cs="Calibri"/>
        </w:rPr>
        <w:tab/>
        <w:t>Cincinnati, OH</w:t>
      </w:r>
    </w:p>
    <w:p w:rsidR="00236D7F" w:rsidRPr="00671D27" w:rsidRDefault="00236D7F" w:rsidP="00671D27">
      <w:pPr>
        <w:spacing w:after="0"/>
        <w:ind w:left="360" w:hanging="360"/>
        <w:rPr>
          <w:rFonts w:cs="Calibri"/>
        </w:rPr>
      </w:pPr>
      <w:r w:rsidRPr="00671D27">
        <w:rPr>
          <w:rFonts w:cs="Calibri"/>
        </w:rPr>
        <w:t>6.</w:t>
      </w:r>
      <w:r w:rsidRPr="00671D27">
        <w:rPr>
          <w:rFonts w:cs="Calibri"/>
        </w:rPr>
        <w:tab/>
        <w:t>Sacramento, CA</w:t>
      </w:r>
    </w:p>
    <w:sectPr w:rsidR="00236D7F" w:rsidRPr="00671D27" w:rsidSect="007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BA7"/>
    <w:multiLevelType w:val="hybridMultilevel"/>
    <w:tmpl w:val="4704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57C98"/>
    <w:rsid w:val="001C5A92"/>
    <w:rsid w:val="00236D7F"/>
    <w:rsid w:val="002B0AE4"/>
    <w:rsid w:val="00313A69"/>
    <w:rsid w:val="00380BBD"/>
    <w:rsid w:val="003B037B"/>
    <w:rsid w:val="004C06CD"/>
    <w:rsid w:val="00526816"/>
    <w:rsid w:val="006203FA"/>
    <w:rsid w:val="00630ED0"/>
    <w:rsid w:val="00671D27"/>
    <w:rsid w:val="006E298E"/>
    <w:rsid w:val="00713E19"/>
    <w:rsid w:val="007401C0"/>
    <w:rsid w:val="00746FA9"/>
    <w:rsid w:val="007B4021"/>
    <w:rsid w:val="008D1FFE"/>
    <w:rsid w:val="0094724A"/>
    <w:rsid w:val="009D5CCA"/>
    <w:rsid w:val="00B17A7C"/>
    <w:rsid w:val="00C57C98"/>
    <w:rsid w:val="00DA207F"/>
    <w:rsid w:val="00DD2319"/>
    <w:rsid w:val="00D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9E415-2D68-40B8-99EF-A0D46EA2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7C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GMMB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jennifero</dc:creator>
  <cp:keywords/>
  <dc:description/>
  <cp:lastModifiedBy>Rebecca Burkholder</cp:lastModifiedBy>
  <cp:revision>4</cp:revision>
  <cp:lastPrinted>2011-01-04T16:29:00Z</cp:lastPrinted>
  <dcterms:created xsi:type="dcterms:W3CDTF">2015-07-10T15:50:00Z</dcterms:created>
  <dcterms:modified xsi:type="dcterms:W3CDTF">2015-07-10T16:36:00Z</dcterms:modified>
</cp:coreProperties>
</file>